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Quotations"/>
        <w:bidi w:val="0"/>
        <w:spacing w:lineRule="auto" w:line="360"/>
        <w:jc w:val="left"/>
        <w:rPr/>
      </w:pPr>
      <w:r>
        <w:rPr>
          <w:rFonts w:ascii="Arial" w:hAnsi="Arial"/>
          <w:sz w:val="24"/>
          <w:szCs w:val="24"/>
        </w:rPr>
        <w:t>This publication continues the conceptual and technical lineage originating from U.S. Patent Application 10/605,894 (US 2004</w:t>
        <w:noBreakHyphen/>
        <w:t xml:space="preserve">0133469 A1), originally filed in 2003 </w:t>
      </w:r>
      <w:r>
        <w:rPr>
          <w:rFonts w:ascii="Arial" w:hAnsi="Arial"/>
          <w:sz w:val="24"/>
          <w:szCs w:val="24"/>
        </w:rPr>
        <w:t>(First:Dynamic user Behavior pricing system with rotation groups and cycle hit history.)</w:t>
      </w:r>
    </w:p>
    <w:p>
      <w:pPr>
        <w:pStyle w:val="Quotations"/>
        <w:bidi w:val="0"/>
        <w:spacing w:lineRule="auto" w:line="360"/>
        <w:jc w:val="left"/>
        <w:rPr/>
      </w:pPr>
      <w:r>
        <w:rPr>
          <w:rFonts w:ascii="Arial" w:hAnsi="Arial"/>
          <w:sz w:val="24"/>
          <w:szCs w:val="24"/>
        </w:rPr>
        <w:br/>
      </w:r>
      <w:r>
        <w:rPr>
          <w:rStyle w:val="Strong"/>
          <w:rFonts w:ascii="Arial" w:hAnsi="Arial"/>
          <w:sz w:val="24"/>
          <w:szCs w:val="24"/>
        </w:rPr>
        <w:t>Title</w:t>
      </w:r>
      <w:r>
        <w:rPr>
          <w:rFonts w:ascii="Arial" w:hAnsi="Arial"/>
          <w:sz w:val="24"/>
          <w:szCs w:val="24"/>
        </w:rPr>
        <w:t xml:space="preserve"> </w:t>
      </w:r>
      <w:r>
        <w:rPr>
          <w:rFonts w:ascii="Arial" w:hAnsi="Arial"/>
          <w:b/>
          <w:bCs/>
          <w:sz w:val="26"/>
          <w:szCs w:val="26"/>
        </w:rPr>
        <w:t>White Box</w:t>
      </w:r>
      <w:r>
        <w:rPr>
          <w:rFonts w:ascii="Arial" w:hAnsi="Arial"/>
          <w:sz w:val="24"/>
          <w:szCs w:val="24"/>
        </w:rPr>
        <w:t xml:space="preserve"> Claim Appendix — Defensive Publication for Cycle Hits and Hits History (v1.0, 2025</w:t>
        <w:noBreakHyphen/>
        <w:t>12</w:t>
        <w:noBreakHyphen/>
        <w:t>24)</w:t>
        <w:br/>
      </w:r>
      <w:r>
        <w:rPr>
          <w:rStyle w:val="Strong"/>
          <w:rFonts w:ascii="Arial" w:hAnsi="Arial"/>
          <w:sz w:val="24"/>
          <w:szCs w:val="24"/>
        </w:rPr>
        <w:t>Author</w:t>
      </w:r>
      <w:r>
        <w:rPr>
          <w:rFonts w:ascii="Arial" w:hAnsi="Arial"/>
          <w:sz w:val="24"/>
          <w:szCs w:val="24"/>
        </w:rPr>
        <w:t xml:space="preserve"> Dario Chang</w:t>
        <w:br/>
        <w:br/>
      </w:r>
      <w:r>
        <w:rPr>
          <w:rStyle w:val="Strong"/>
          <w:rFonts w:ascii="Arial" w:hAnsi="Arial"/>
          <w:sz w:val="24"/>
          <w:szCs w:val="24"/>
        </w:rPr>
        <w:t>Short description</w:t>
      </w:r>
      <w:r>
        <w:rPr>
          <w:rFonts w:ascii="Arial" w:hAnsi="Arial"/>
          <w:sz w:val="24"/>
          <w:szCs w:val="24"/>
        </w:rPr>
        <w:t xml:space="preserve"> Public defensive disclosure documenting the Cycle Hits + Hits History behavioral scoring principle and explicit modern derivatives (ML embodiments, privacy techniques, RTB integration, audit primitives). This document is submitted as prior art for consideration in prosecution of related claims.</w:t>
        <w:br/>
      </w:r>
      <w:r>
        <w:rPr>
          <w:rStyle w:val="Strong"/>
          <w:rFonts w:ascii="Arial" w:hAnsi="Arial"/>
          <w:sz w:val="24"/>
          <w:szCs w:val="24"/>
        </w:rPr>
        <w:t>File</w:t>
      </w:r>
      <w:r>
        <w:rPr>
          <w:rFonts w:ascii="Arial" w:hAnsi="Arial"/>
          <w:sz w:val="24"/>
          <w:szCs w:val="24"/>
        </w:rPr>
        <w:t xml:space="preserve"> Attached PDF of the White Box Claim Appendix.</w:t>
      </w:r>
    </w:p>
    <w:p>
      <w:pPr>
        <w:pStyle w:val="Quotations"/>
        <w:bidi w:val="0"/>
        <w:spacing w:lineRule="auto" w:line="360"/>
        <w:jc w:val="left"/>
        <w:rPr>
          <w:rFonts w:ascii="Arial" w:hAnsi="Arial"/>
          <w:sz w:val="24"/>
          <w:szCs w:val="24"/>
        </w:rPr>
      </w:pPr>
      <w:r>
        <w:rPr>
          <w:rFonts w:ascii="Arial" w:hAnsi="Arial"/>
          <w:sz w:val="24"/>
          <w:szCs w:val="24"/>
        </w:rPr>
      </w:r>
    </w:p>
    <w:p>
      <w:pPr>
        <w:pStyle w:val="Heading3"/>
        <w:numPr>
          <w:ilvl w:val="2"/>
          <w:numId w:val="1"/>
        </w:numPr>
        <w:bidi w:val="0"/>
        <w:spacing w:lineRule="auto" w:line="360"/>
        <w:jc w:val="left"/>
        <w:rPr/>
      </w:pPr>
      <w:r>
        <w:rPr>
          <w:rStyle w:val="Strong"/>
          <w:rFonts w:ascii="Arial" w:hAnsi="Arial"/>
          <w:b/>
          <w:sz w:val="24"/>
          <w:szCs w:val="24"/>
        </w:rPr>
        <w:t>White Box Claim Appendix</w:t>
      </w:r>
    </w:p>
    <w:p>
      <w:pPr>
        <w:pStyle w:val="TextBody"/>
        <w:bidi w:val="0"/>
        <w:spacing w:lineRule="auto" w:line="360"/>
        <w:jc w:val="left"/>
        <w:rPr/>
      </w:pPr>
      <w:r>
        <w:rPr>
          <w:rStyle w:val="Strong"/>
          <w:rFonts w:ascii="Arial" w:hAnsi="Arial"/>
          <w:sz w:val="24"/>
          <w:szCs w:val="24"/>
        </w:rPr>
        <w:t>Defensive Publication and Prior Art for Cycle Hits and Hits History</w:t>
      </w:r>
      <w:r>
        <w:rPr>
          <w:rFonts w:ascii="Arial" w:hAnsi="Arial"/>
          <w:sz w:val="24"/>
          <w:szCs w:val="24"/>
        </w:rPr>
        <w:br/>
      </w:r>
      <w:r>
        <w:rPr>
          <w:rStyle w:val="Strong"/>
          <w:rFonts w:ascii="Arial" w:hAnsi="Arial"/>
          <w:sz w:val="24"/>
          <w:szCs w:val="24"/>
        </w:rPr>
        <w:t>Author</w:t>
      </w:r>
      <w:r>
        <w:rPr>
          <w:rFonts w:ascii="Arial" w:hAnsi="Arial"/>
          <w:sz w:val="24"/>
          <w:szCs w:val="24"/>
        </w:rPr>
        <w:t xml:space="preserve"> Dario Chang (original 2003 patent filings)</w:t>
        <w:br/>
      </w:r>
      <w:r>
        <w:rPr>
          <w:rStyle w:val="Strong"/>
          <w:rFonts w:ascii="Arial" w:hAnsi="Arial"/>
          <w:sz w:val="24"/>
          <w:szCs w:val="24"/>
        </w:rPr>
        <w:t>Version</w:t>
      </w:r>
      <w:r>
        <w:rPr>
          <w:rFonts w:ascii="Arial" w:hAnsi="Arial"/>
          <w:sz w:val="24"/>
          <w:szCs w:val="24"/>
        </w:rPr>
        <w:t xml:space="preserve"> v1.0 — </w:t>
      </w:r>
      <w:r>
        <w:rPr>
          <w:rStyle w:val="Strong"/>
          <w:rFonts w:ascii="Arial" w:hAnsi="Arial"/>
          <w:sz w:val="24"/>
          <w:szCs w:val="24"/>
        </w:rPr>
        <w:t>Published</w:t>
      </w:r>
      <w:r>
        <w:rPr>
          <w:rFonts w:ascii="Arial" w:hAnsi="Arial"/>
          <w:sz w:val="24"/>
          <w:szCs w:val="24"/>
        </w:rPr>
        <w:t xml:space="preserve"> December 24, 2025</w:t>
        <w:br/>
      </w:r>
      <w:r>
        <w:rPr>
          <w:rStyle w:val="Strong"/>
          <w:rFonts w:ascii="Arial" w:hAnsi="Arial"/>
          <w:sz w:val="24"/>
          <w:szCs w:val="24"/>
        </w:rPr>
        <w:t>License</w:t>
      </w:r>
      <w:r>
        <w:rPr>
          <w:rFonts w:ascii="Arial" w:hAnsi="Arial"/>
          <w:sz w:val="24"/>
          <w:szCs w:val="24"/>
        </w:rPr>
        <w:t xml:space="preserve"> CC0 1.0 Universal (public domain dedication)</w:t>
      </w:r>
    </w:p>
    <w:p>
      <w:pPr>
        <w:pStyle w:val="HorizontalLine"/>
        <w:bidi w:val="0"/>
        <w:spacing w:lineRule="auto" w:line="360"/>
        <w:jc w:val="left"/>
        <w:rPr>
          <w:rFonts w:ascii="Arial" w:hAnsi="Arial"/>
          <w:sz w:val="24"/>
          <w:szCs w:val="24"/>
        </w:rPr>
      </w:pPr>
      <w:r>
        <w:rPr>
          <w:rFonts w:ascii="Arial" w:hAnsi="Arial"/>
          <w:sz w:val="24"/>
          <w:szCs w:val="24"/>
        </w:rPr>
      </w:r>
    </w:p>
    <w:p>
      <w:pPr>
        <w:pStyle w:val="Heading3"/>
        <w:numPr>
          <w:ilvl w:val="2"/>
          <w:numId w:val="1"/>
        </w:numPr>
        <w:bidi w:val="0"/>
        <w:spacing w:lineRule="auto" w:line="360"/>
        <w:jc w:val="left"/>
        <w:rPr>
          <w:rFonts w:ascii="Arial" w:hAnsi="Arial"/>
          <w:sz w:val="24"/>
          <w:szCs w:val="24"/>
        </w:rPr>
      </w:pPr>
      <w:r>
        <w:rPr>
          <w:rFonts w:ascii="Arial" w:hAnsi="Arial"/>
          <w:sz w:val="24"/>
          <w:szCs w:val="24"/>
        </w:rPr>
        <w:t>Abstract</w:t>
      </w:r>
    </w:p>
    <w:p>
      <w:pPr>
        <w:pStyle w:val="TextBody"/>
        <w:bidi w:val="0"/>
        <w:spacing w:lineRule="auto" w:line="360"/>
        <w:jc w:val="left"/>
        <w:rPr>
          <w:rFonts w:ascii="Arial" w:hAnsi="Arial"/>
          <w:sz w:val="24"/>
          <w:szCs w:val="24"/>
        </w:rPr>
      </w:pPr>
      <w:r>
        <w:rPr>
          <w:rFonts w:ascii="Arial" w:hAnsi="Arial"/>
          <w:sz w:val="24"/>
          <w:szCs w:val="24"/>
        </w:rPr>
        <w:t>This document is a defensive publication that restates and modernizes the white</w:t>
        <w:noBreakHyphen/>
        <w:t>box logic originally disclosed in 2003 (Cycle Hits and Hits History). It documents the core behavioral</w:t>
        <w:noBreakHyphen/>
        <w:t>scoring principle, enumerates explicit derivative embodiments across contemporary technologies, and provides reproducible pseudocode, data schemas, and an API example. The purpose is to create a timestamped, examiner</w:t>
        <w:noBreakHyphen/>
        <w:t>friendly prior</w:t>
        <w:noBreakHyphen/>
        <w:t>art record that prevents later black</w:t>
        <w:noBreakHyphen/>
        <w:t>box patents from claiming novelty over the disclosed principle.</w:t>
      </w:r>
    </w:p>
    <w:p>
      <w:pPr>
        <w:pStyle w:val="HorizontalLine"/>
        <w:bidi w:val="0"/>
        <w:spacing w:lineRule="auto" w:line="360"/>
        <w:jc w:val="left"/>
        <w:rPr>
          <w:rFonts w:ascii="Arial" w:hAnsi="Arial"/>
          <w:sz w:val="24"/>
          <w:szCs w:val="24"/>
        </w:rPr>
      </w:pPr>
      <w:r>
        <w:rPr>
          <w:rFonts w:ascii="Arial" w:hAnsi="Arial"/>
          <w:sz w:val="24"/>
          <w:szCs w:val="24"/>
        </w:rPr>
      </w:r>
    </w:p>
    <w:p>
      <w:pPr>
        <w:pStyle w:val="Heading3"/>
        <w:numPr>
          <w:ilvl w:val="2"/>
          <w:numId w:val="1"/>
        </w:numPr>
        <w:bidi w:val="0"/>
        <w:spacing w:lineRule="auto" w:line="360"/>
        <w:jc w:val="left"/>
        <w:rPr>
          <w:rFonts w:ascii="Arial" w:hAnsi="Arial"/>
          <w:sz w:val="24"/>
          <w:szCs w:val="24"/>
        </w:rPr>
      </w:pPr>
      <w:r>
        <w:rPr>
          <w:rFonts w:ascii="Arial" w:hAnsi="Arial"/>
          <w:sz w:val="24"/>
          <w:szCs w:val="24"/>
        </w:rPr>
        <w:t>Statement of Defensive Purpose</w:t>
      </w:r>
    </w:p>
    <w:p>
      <w:pPr>
        <w:pStyle w:val="TextBody"/>
        <w:bidi w:val="0"/>
        <w:spacing w:lineRule="auto" w:line="360"/>
        <w:jc w:val="left"/>
        <w:rPr/>
      </w:pPr>
      <w:r>
        <w:rPr>
          <w:rStyle w:val="Strong"/>
          <w:rFonts w:ascii="Arial" w:hAnsi="Arial"/>
          <w:sz w:val="24"/>
          <w:szCs w:val="24"/>
        </w:rPr>
        <w:t>This document is a defensive publication and prior art for the Cycle Hits and Hits History behavioral scoring principle (original disclosure 2003).</w:t>
      </w:r>
      <w:r>
        <w:rPr>
          <w:rFonts w:ascii="Arial" w:hAnsi="Arial"/>
          <w:sz w:val="24"/>
          <w:szCs w:val="24"/>
        </w:rPr>
        <w:t xml:space="preserve"> It is published openly to preserve lineage, to inform patent examiners and regulators, and to block competitors from reframing the same core logic as novel through opaque technical embodiments.</w:t>
      </w:r>
    </w:p>
    <w:p>
      <w:pPr>
        <w:pStyle w:val="HorizontalLine"/>
        <w:bidi w:val="0"/>
        <w:spacing w:lineRule="auto" w:line="360"/>
        <w:jc w:val="left"/>
        <w:rPr>
          <w:rFonts w:ascii="Arial" w:hAnsi="Arial"/>
          <w:sz w:val="24"/>
          <w:szCs w:val="24"/>
        </w:rPr>
      </w:pPr>
      <w:r>
        <w:rPr>
          <w:rFonts w:ascii="Arial" w:hAnsi="Arial"/>
          <w:sz w:val="24"/>
          <w:szCs w:val="24"/>
        </w:rPr>
      </w:r>
    </w:p>
    <w:p>
      <w:pPr>
        <w:pStyle w:val="Heading2"/>
        <w:numPr>
          <w:ilvl w:val="1"/>
          <w:numId w:val="1"/>
        </w:numPr>
        <w:bidi w:val="0"/>
        <w:spacing w:lineRule="auto" w:line="360"/>
        <w:jc w:val="left"/>
        <w:rPr>
          <w:rFonts w:ascii="Arial" w:hAnsi="Arial"/>
          <w:sz w:val="24"/>
          <w:szCs w:val="24"/>
        </w:rPr>
      </w:pPr>
      <w:r>
        <w:rPr>
          <w:rFonts w:ascii="Arial" w:hAnsi="Arial"/>
          <w:sz w:val="24"/>
          <w:szCs w:val="24"/>
        </w:rPr>
        <w:t>1 Core Claim Set (25 Claim</w:t>
        <w:noBreakHyphen/>
        <w:t>Style Items)</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Core Principle</w:t>
      </w:r>
      <w:r>
        <w:rPr>
          <w:rFonts w:ascii="Arial" w:hAnsi="Arial"/>
          <w:sz w:val="24"/>
          <w:szCs w:val="24"/>
        </w:rPr>
        <w:t xml:space="preserve"> — A system that computes a behavioral score for each advertiser account from Hits History and Cycle Hits and uses that score to dynamically determine price and placement in online listing systems.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Grouping</w:t>
      </w:r>
      <w:r>
        <w:rPr>
          <w:rFonts w:ascii="Arial" w:hAnsi="Arial"/>
          <w:sz w:val="24"/>
          <w:szCs w:val="24"/>
        </w:rPr>
        <w:t xml:space="preserve"> — Accounts are grouped by similar behavioral scores and business attributes; group membership influences entry fees and placement tiers.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Cyclical Pricing</w:t>
      </w:r>
      <w:r>
        <w:rPr>
          <w:rFonts w:ascii="Arial" w:hAnsi="Arial"/>
          <w:sz w:val="24"/>
          <w:szCs w:val="24"/>
        </w:rPr>
        <w:t xml:space="preserve"> — Continuous engagement raises a score and price until a client cap is reached, at which point the listing is temporarily removed and later relisted at a minimum entry fee.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Multi</w:t>
        <w:noBreakHyphen/>
        <w:t>Factor Score</w:t>
      </w:r>
      <w:r>
        <w:rPr>
          <w:rFonts w:ascii="Arial" w:hAnsi="Arial"/>
          <w:sz w:val="24"/>
          <w:szCs w:val="24"/>
        </w:rPr>
        <w:t xml:space="preserve"> — The behavioral score is computed from a configurable combination of factors including hits, dwell time, traffic, budget, keywords, business type, seasonality, rotation history, placement history, popularity, and credit history.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Rotation Within Group</w:t>
      </w:r>
      <w:r>
        <w:rPr>
          <w:rFonts w:ascii="Arial" w:hAnsi="Arial"/>
          <w:sz w:val="24"/>
          <w:szCs w:val="24"/>
        </w:rPr>
        <w:t xml:space="preserve"> — Listings within a group may be rotated according to rotation policies; rotation count and rotation priority affect price and placement.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Cross</w:t>
        <w:noBreakHyphen/>
        <w:t>Network Exchange</w:t>
      </w:r>
      <w:r>
        <w:rPr>
          <w:rFonts w:ascii="Arial" w:hAnsi="Arial"/>
          <w:sz w:val="24"/>
          <w:szCs w:val="24"/>
        </w:rPr>
        <w:t xml:space="preserve"> — Groups and listings may be exchanged or rotated across multiple participating networks via a shared client database and exchange protocol.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Client Pooling and Bidding</w:t>
      </w:r>
      <w:r>
        <w:rPr>
          <w:rFonts w:ascii="Arial" w:hAnsi="Arial"/>
          <w:sz w:val="24"/>
          <w:szCs w:val="24"/>
        </w:rPr>
        <w:t xml:space="preserve"> — A waiting list and pooled client marketplace allow networks to bid for groups of clients; winning offers determine which network lists the group.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Interactive Ad Formats</w:t>
      </w:r>
      <w:r>
        <w:rPr>
          <w:rFonts w:ascii="Arial" w:hAnsi="Arial"/>
          <w:sz w:val="24"/>
          <w:szCs w:val="24"/>
        </w:rPr>
        <w:t xml:space="preserve"> — Ads may include interactive multimedia controls (play/stop audio, video, graphics) tied to search terms and used in scoring and conversion measurement.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Real</w:t>
        <w:noBreakHyphen/>
        <w:t>Time Integration</w:t>
      </w:r>
      <w:r>
        <w:rPr>
          <w:rFonts w:ascii="Arial" w:hAnsi="Arial"/>
          <w:sz w:val="24"/>
          <w:szCs w:val="24"/>
        </w:rPr>
        <w:t xml:space="preserve"> — Scoring and placement decisions are computed in real time or near real time and applied to live listing results.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Budget Caps and Throttles</w:t>
      </w:r>
      <w:r>
        <w:rPr>
          <w:rFonts w:ascii="Arial" w:hAnsi="Arial"/>
          <w:sz w:val="24"/>
          <w:szCs w:val="24"/>
        </w:rPr>
        <w:t xml:space="preserve"> — Clients set budget caps and throttles that interact with scoring cycles to limit spend and control listing duration.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Extensibility Umbrella</w:t>
      </w:r>
      <w:r>
        <w:rPr>
          <w:rFonts w:ascii="Arial" w:hAnsi="Arial"/>
          <w:sz w:val="24"/>
          <w:szCs w:val="24"/>
        </w:rPr>
        <w:t xml:space="preserve"> — The scoring architecture supports modular integration of new score factors and algorithmic improvements without changing the core principle.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Identity and Account Linking</w:t>
      </w:r>
      <w:r>
        <w:rPr>
          <w:rFonts w:ascii="Arial" w:hAnsi="Arial"/>
          <w:sz w:val="24"/>
          <w:szCs w:val="24"/>
        </w:rPr>
        <w:t xml:space="preserve"> — Each client has a unique account identifier; identity proofing and reputation data may be integrated into the score.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Fraud and Integrity Controls</w:t>
      </w:r>
      <w:r>
        <w:rPr>
          <w:rFonts w:ascii="Arial" w:hAnsi="Arial"/>
          <w:sz w:val="24"/>
          <w:szCs w:val="24"/>
        </w:rPr>
        <w:t xml:space="preserve"> — The system includes bot detection, viewability checks, click</w:t>
        <w:noBreakHyphen/>
        <w:t xml:space="preserve">fraud mitigation, and anomaly detection that feed into score adjustments.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Privacy Preserving Modes</w:t>
      </w:r>
      <w:r>
        <w:rPr>
          <w:rFonts w:ascii="Arial" w:hAnsi="Arial"/>
          <w:sz w:val="24"/>
          <w:szCs w:val="24"/>
        </w:rPr>
        <w:t xml:space="preserve"> — Score computation supports privacy techniques such as federated learning, differential privacy, and secure multi</w:t>
        <w:noBreakHyphen/>
        <w:t xml:space="preserve">party computation to avoid raw data exposure.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Explainability Interface</w:t>
      </w:r>
      <w:r>
        <w:rPr>
          <w:rFonts w:ascii="Arial" w:hAnsi="Arial"/>
          <w:sz w:val="24"/>
          <w:szCs w:val="24"/>
        </w:rPr>
        <w:t xml:space="preserve"> — The system exposes explainability metadata for each score (feature contributions, timestamps, group history) to authorized auditors and regulators.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Provenance and Auditability</w:t>
      </w:r>
      <w:r>
        <w:rPr>
          <w:rFonts w:ascii="Arial" w:hAnsi="Arial"/>
          <w:sz w:val="24"/>
          <w:szCs w:val="24"/>
        </w:rPr>
        <w:t xml:space="preserve"> — Immutable audit logs, timestamping, and optional blockchain anchoring record score computations and placement decisions for verification.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Zero Knowledge Verification</w:t>
      </w:r>
      <w:r>
        <w:rPr>
          <w:rFonts w:ascii="Arial" w:hAnsi="Arial"/>
          <w:sz w:val="24"/>
          <w:szCs w:val="24"/>
        </w:rPr>
        <w:t xml:space="preserve"> — Zero</w:t>
        <w:noBreakHyphen/>
        <w:t xml:space="preserve">knowledge proofs can attest to correct score computation and compliance without revealing raw user data.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Real</w:t>
        <w:noBreakHyphen/>
        <w:t>Time Bidding Integration</w:t>
      </w:r>
      <w:r>
        <w:rPr>
          <w:rFonts w:ascii="Arial" w:hAnsi="Arial"/>
          <w:sz w:val="24"/>
          <w:szCs w:val="24"/>
        </w:rPr>
        <w:t xml:space="preserve"> — The scoring system integrates with RTB and header bidding flows to influence bid floors and ad placement in programmatic markets.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Marketplace Settlement</w:t>
      </w:r>
      <w:r>
        <w:rPr>
          <w:rFonts w:ascii="Arial" w:hAnsi="Arial"/>
          <w:sz w:val="24"/>
          <w:szCs w:val="24"/>
        </w:rPr>
        <w:t xml:space="preserve"> — Billing, reconciliation, and settlement mechanisms reflect cyclical pricing, rotation counts, and cross</w:t>
        <w:noBreakHyphen/>
        <w:t xml:space="preserve">network exchanges.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On</w:t>
        <w:noBreakHyphen/>
        <w:t>Device and Edge Scoring</w:t>
      </w:r>
      <w:r>
        <w:rPr>
          <w:rFonts w:ascii="Arial" w:hAnsi="Arial"/>
          <w:sz w:val="24"/>
          <w:szCs w:val="24"/>
        </w:rPr>
        <w:t xml:space="preserve"> — Score computation can be performed on device or at the edge for low</w:t>
        <w:noBreakHyphen/>
        <w:t xml:space="preserve">latency personalization while preserving privacy.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AI Embodiments</w:t>
      </w:r>
      <w:r>
        <w:rPr>
          <w:rFonts w:ascii="Arial" w:hAnsi="Arial"/>
          <w:sz w:val="24"/>
          <w:szCs w:val="24"/>
        </w:rPr>
        <w:t xml:space="preserve"> — The scoring function may be implemented using contextual bandits, multi</w:t>
        <w:noBreakHyphen/>
        <w:t xml:space="preserve">armed bandits, reinforcement learning, supervised neural networks, transformers, graph neural networks, or causal models; such embodiments are explicit derivatives of the core principle.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Quantum and Compute Orchestration</w:t>
      </w:r>
      <w:r>
        <w:rPr>
          <w:rFonts w:ascii="Arial" w:hAnsi="Arial"/>
          <w:sz w:val="24"/>
          <w:szCs w:val="24"/>
        </w:rPr>
        <w:t xml:space="preserve"> — The scoring and pricing orchestration may be accelerated or optimized using quantum compute or specialized hardware; such implementations are derivatives of the core principle.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Regulatory Primitive</w:t>
      </w:r>
      <w:r>
        <w:rPr>
          <w:rFonts w:ascii="Arial" w:hAnsi="Arial"/>
          <w:sz w:val="24"/>
          <w:szCs w:val="24"/>
        </w:rPr>
        <w:t xml:space="preserve"> — The score is usable as a regulatory primitive to enforce LISTED/UNLISTED states, compliance tiers, and marketplace rules. </w:t>
      </w:r>
    </w:p>
    <w:p>
      <w:pPr>
        <w:pStyle w:val="TextBody"/>
        <w:numPr>
          <w:ilvl w:val="0"/>
          <w:numId w:val="2"/>
        </w:numPr>
        <w:tabs>
          <w:tab w:val="clear" w:pos="709"/>
          <w:tab w:val="left" w:pos="1418" w:leader="none"/>
        </w:tabs>
        <w:bidi w:val="0"/>
        <w:spacing w:lineRule="auto" w:line="360" w:before="0" w:after="0"/>
        <w:ind w:left="709" w:hanging="283"/>
        <w:jc w:val="left"/>
        <w:rPr/>
      </w:pPr>
      <w:r>
        <w:rPr>
          <w:rStyle w:val="Strong"/>
          <w:rFonts w:ascii="Arial" w:hAnsi="Arial"/>
          <w:sz w:val="24"/>
          <w:szCs w:val="24"/>
        </w:rPr>
        <w:t>Tokenization and Smart Contracts</w:t>
      </w:r>
      <w:r>
        <w:rPr>
          <w:rFonts w:ascii="Arial" w:hAnsi="Arial"/>
          <w:sz w:val="24"/>
          <w:szCs w:val="24"/>
        </w:rPr>
        <w:t xml:space="preserve"> — Tokenized incentives, smart contracts, and programmable settlement may be used to automate rotation, exchange, and payment flows tied to score events. </w:t>
      </w:r>
    </w:p>
    <w:p>
      <w:pPr>
        <w:pStyle w:val="TextBody"/>
        <w:numPr>
          <w:ilvl w:val="0"/>
          <w:numId w:val="2"/>
        </w:numPr>
        <w:tabs>
          <w:tab w:val="clear" w:pos="709"/>
          <w:tab w:val="left" w:pos="1418" w:leader="none"/>
        </w:tabs>
        <w:bidi w:val="0"/>
        <w:spacing w:lineRule="auto" w:line="360"/>
        <w:ind w:left="709" w:hanging="283"/>
        <w:jc w:val="left"/>
        <w:rPr/>
      </w:pPr>
      <w:r>
        <w:rPr>
          <w:rStyle w:val="Strong"/>
          <w:rFonts w:ascii="Arial" w:hAnsi="Arial"/>
          <w:sz w:val="24"/>
          <w:szCs w:val="24"/>
        </w:rPr>
        <w:t>Umbrella Variations</w:t>
      </w:r>
      <w:r>
        <w:rPr>
          <w:rFonts w:ascii="Arial" w:hAnsi="Arial"/>
          <w:sz w:val="24"/>
          <w:szCs w:val="24"/>
        </w:rPr>
        <w:t xml:space="preserve"> — All reasonable modifications, combinations, and permutations of the above elements that implement the core behavioral scoring → dynamic price/placement principle are included in this disclosure. </w:t>
      </w:r>
    </w:p>
    <w:p>
      <w:pPr>
        <w:pStyle w:val="HorizontalLine"/>
        <w:bidi w:val="0"/>
        <w:spacing w:lineRule="auto" w:line="360"/>
        <w:jc w:val="left"/>
        <w:rPr>
          <w:rFonts w:ascii="Arial" w:hAnsi="Arial"/>
          <w:sz w:val="24"/>
          <w:szCs w:val="24"/>
        </w:rPr>
      </w:pPr>
      <w:r>
        <w:rPr>
          <w:rFonts w:ascii="Arial" w:hAnsi="Arial"/>
          <w:sz w:val="24"/>
          <w:szCs w:val="24"/>
        </w:rPr>
      </w:r>
    </w:p>
    <w:p>
      <w:pPr>
        <w:pStyle w:val="Heading2"/>
        <w:numPr>
          <w:ilvl w:val="1"/>
          <w:numId w:val="1"/>
        </w:numPr>
        <w:bidi w:val="0"/>
        <w:spacing w:lineRule="auto" w:line="360"/>
        <w:jc w:val="left"/>
        <w:rPr>
          <w:rFonts w:ascii="Arial" w:hAnsi="Arial"/>
          <w:sz w:val="24"/>
          <w:szCs w:val="24"/>
        </w:rPr>
      </w:pPr>
      <w:r>
        <w:rPr>
          <w:rFonts w:ascii="Arial" w:hAnsi="Arial"/>
          <w:sz w:val="24"/>
          <w:szCs w:val="24"/>
        </w:rPr>
        <w:t>2 Representative Pseudocode and Data Schema</w:t>
      </w:r>
    </w:p>
    <w:p>
      <w:pPr>
        <w:pStyle w:val="TextBody"/>
        <w:bidi w:val="0"/>
        <w:spacing w:lineRule="auto" w:line="360"/>
        <w:jc w:val="left"/>
        <w:rPr/>
      </w:pPr>
      <w:r>
        <w:rPr>
          <w:rStyle w:val="Strong"/>
          <w:rFonts w:ascii="Arial" w:hAnsi="Arial"/>
          <w:sz w:val="24"/>
          <w:szCs w:val="24"/>
        </w:rPr>
        <w:t>Scoring function pseudocode</w:t>
      </w:r>
    </w:p>
    <w:p>
      <w:pPr>
        <w:pStyle w:val="PreformattedText"/>
        <w:bidi w:val="0"/>
        <w:spacing w:lineRule="auto" w:line="360"/>
        <w:jc w:val="left"/>
        <w:rPr/>
      </w:pPr>
      <w:r>
        <w:rPr>
          <w:rStyle w:val="SourceText"/>
          <w:rFonts w:ascii="Arial" w:hAnsi="Arial"/>
          <w:sz w:val="24"/>
          <w:szCs w:val="24"/>
        </w:rPr>
        <w:t># Inputs: hits_stream, account_profile, budget_caps, rotation_history, partner_signals</w:t>
      </w:r>
    </w:p>
    <w:p>
      <w:pPr>
        <w:pStyle w:val="PreformattedText"/>
        <w:bidi w:val="0"/>
        <w:spacing w:lineRule="auto" w:line="360"/>
        <w:jc w:val="left"/>
        <w:rPr/>
      </w:pPr>
      <w:r>
        <w:rPr>
          <w:rStyle w:val="SourceText"/>
          <w:rFonts w:ascii="Arial" w:hAnsi="Arial"/>
          <w:sz w:val="24"/>
          <w:szCs w:val="24"/>
        </w:rPr>
        <w:t># Output: score_value, placement_priority, price_per_hit</w:t>
      </w:r>
    </w:p>
    <w:p>
      <w:pPr>
        <w:pStyle w:val="PreformattedText"/>
        <w:bidi w:val="0"/>
        <w:spacing w:lineRule="auto" w:line="360"/>
        <w:jc w:val="left"/>
        <w:rPr>
          <w:rFonts w:ascii="Arial" w:hAnsi="Arial"/>
          <w:sz w:val="24"/>
          <w:szCs w:val="24"/>
        </w:rPr>
      </w:pPr>
      <w:r>
        <w:rPr>
          <w:rFonts w:ascii="Arial" w:hAnsi="Arial"/>
          <w:sz w:val="24"/>
          <w:szCs w:val="24"/>
        </w:rPr>
      </w:r>
    </w:p>
    <w:p>
      <w:pPr>
        <w:pStyle w:val="PreformattedText"/>
        <w:bidi w:val="0"/>
        <w:spacing w:lineRule="auto" w:line="360"/>
        <w:jc w:val="left"/>
        <w:rPr/>
      </w:pPr>
      <w:r>
        <w:rPr>
          <w:rStyle w:val="SourceText"/>
          <w:rFonts w:ascii="Arial" w:hAnsi="Arial"/>
          <w:sz w:val="24"/>
          <w:szCs w:val="24"/>
        </w:rPr>
        <w:t>def compute_behavioral_score(hits_stream, account_profile, rotation_history, partner_signals):</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features = {}</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features['hit_count'] = aggregate_hits(hits_stream, window='30d')</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features['dwell_avg'] = avg_dwell(hits_stream)</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features['traffic_trend'] = trend_metric(account_profile.traffic)</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features['budget_factor'] = normalize(account_profile.budget)</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features['rotation_factor'] = rotation_history.score</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features['popularity'] = partner_signals.popularity_index</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 optional ML model</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score_value = model.predict(features) if model else weighted_sum(features, weights)</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return score_value</w:t>
      </w:r>
    </w:p>
    <w:p>
      <w:pPr>
        <w:pStyle w:val="PreformattedText"/>
        <w:bidi w:val="0"/>
        <w:spacing w:lineRule="auto" w:line="360"/>
        <w:jc w:val="left"/>
        <w:rPr>
          <w:rFonts w:ascii="Arial" w:hAnsi="Arial"/>
          <w:sz w:val="24"/>
          <w:szCs w:val="24"/>
        </w:rPr>
      </w:pPr>
      <w:r>
        <w:rPr>
          <w:rFonts w:ascii="Arial" w:hAnsi="Arial"/>
          <w:sz w:val="24"/>
          <w:szCs w:val="24"/>
        </w:rPr>
      </w:r>
    </w:p>
    <w:p>
      <w:pPr>
        <w:pStyle w:val="PreformattedText"/>
        <w:bidi w:val="0"/>
        <w:spacing w:lineRule="auto" w:line="360"/>
        <w:jc w:val="left"/>
        <w:rPr/>
      </w:pPr>
      <w:r>
        <w:rPr>
          <w:rStyle w:val="SourceText"/>
          <w:rFonts w:ascii="Arial" w:hAnsi="Arial"/>
          <w:sz w:val="24"/>
          <w:szCs w:val="24"/>
        </w:rPr>
        <w:t>def determine_price_and_placement(score_value, group_stats, caps, account_profile):</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group_tier = assign_group(score_value, group_stats)</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base_price = group_tier.base_fee + group_tier.multiplier * score_value</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if caps.reached(account_profile):</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placement = 'UNLISTED'</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price = 0</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else:</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placement = compute_rotation_slot(group_tier)</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price = apply_caps_and_discounts(base_price, account_profile)</w:t>
      </w:r>
    </w:p>
    <w:p>
      <w:pPr>
        <w:pStyle w:val="PreformattedText"/>
        <w:bidi w:val="0"/>
        <w:spacing w:lineRule="auto" w:line="360" w:before="0" w:after="283"/>
        <w:jc w:val="left"/>
        <w:rPr/>
      </w:pPr>
      <w:r>
        <w:rPr>
          <w:rStyle w:val="SourceText"/>
          <w:rFonts w:ascii="Arial" w:hAnsi="Arial"/>
          <w:sz w:val="24"/>
          <w:szCs w:val="24"/>
        </w:rPr>
        <w:t xml:space="preserve">    </w:t>
      </w:r>
      <w:r>
        <w:rPr>
          <w:rStyle w:val="SourceText"/>
          <w:rFonts w:ascii="Arial" w:hAnsi="Arial"/>
          <w:sz w:val="24"/>
          <w:szCs w:val="24"/>
        </w:rPr>
        <w:t>return price, placement</w:t>
      </w:r>
    </w:p>
    <w:p>
      <w:pPr>
        <w:pStyle w:val="TextBody"/>
        <w:bidi w:val="0"/>
        <w:spacing w:lineRule="auto" w:line="360"/>
        <w:jc w:val="left"/>
        <w:rPr/>
      </w:pPr>
      <w:r>
        <w:rPr>
          <w:rStyle w:val="Strong"/>
          <w:rFonts w:ascii="Arial" w:hAnsi="Arial"/>
          <w:sz w:val="24"/>
          <w:szCs w:val="24"/>
        </w:rPr>
        <w:t>Minimal data schema</w:t>
      </w:r>
    </w:p>
    <w:p>
      <w:pPr>
        <w:pStyle w:val="TextBody"/>
        <w:numPr>
          <w:ilvl w:val="0"/>
          <w:numId w:val="3"/>
        </w:numPr>
        <w:tabs>
          <w:tab w:val="clear" w:pos="709"/>
          <w:tab w:val="left" w:pos="1418" w:leader="none"/>
        </w:tabs>
        <w:bidi w:val="0"/>
        <w:spacing w:lineRule="auto" w:line="360" w:before="0" w:after="0"/>
        <w:ind w:left="709" w:hanging="283"/>
        <w:jc w:val="left"/>
        <w:rPr/>
      </w:pPr>
      <w:r>
        <w:rPr>
          <w:rStyle w:val="Strong"/>
          <w:rFonts w:ascii="Arial" w:hAnsi="Arial"/>
          <w:sz w:val="24"/>
          <w:szCs w:val="24"/>
        </w:rPr>
        <w:t>Account</w:t>
      </w:r>
      <w:r>
        <w:rPr>
          <w:rFonts w:ascii="Arial" w:hAnsi="Arial"/>
          <w:sz w:val="24"/>
          <w:szCs w:val="24"/>
        </w:rPr>
        <w:t xml:space="preserve">: account_id, business_type, budget, credit_score, onboarding_date </w:t>
      </w:r>
    </w:p>
    <w:p>
      <w:pPr>
        <w:pStyle w:val="TextBody"/>
        <w:numPr>
          <w:ilvl w:val="0"/>
          <w:numId w:val="3"/>
        </w:numPr>
        <w:tabs>
          <w:tab w:val="clear" w:pos="709"/>
          <w:tab w:val="left" w:pos="1418" w:leader="none"/>
        </w:tabs>
        <w:bidi w:val="0"/>
        <w:spacing w:lineRule="auto" w:line="360" w:before="0" w:after="0"/>
        <w:ind w:left="709" w:hanging="283"/>
        <w:jc w:val="left"/>
        <w:rPr/>
      </w:pPr>
      <w:r>
        <w:rPr>
          <w:rStyle w:val="Strong"/>
          <w:rFonts w:ascii="Arial" w:hAnsi="Arial"/>
          <w:sz w:val="24"/>
          <w:szCs w:val="24"/>
        </w:rPr>
        <w:t>HitsHistory</w:t>
      </w:r>
      <w:r>
        <w:rPr>
          <w:rFonts w:ascii="Arial" w:hAnsi="Arial"/>
          <w:sz w:val="24"/>
          <w:szCs w:val="24"/>
        </w:rPr>
        <w:t xml:space="preserve">: account_id, timestamp, page, dwell_time, event_type </w:t>
      </w:r>
    </w:p>
    <w:p>
      <w:pPr>
        <w:pStyle w:val="TextBody"/>
        <w:numPr>
          <w:ilvl w:val="0"/>
          <w:numId w:val="3"/>
        </w:numPr>
        <w:tabs>
          <w:tab w:val="clear" w:pos="709"/>
          <w:tab w:val="left" w:pos="1418" w:leader="none"/>
        </w:tabs>
        <w:bidi w:val="0"/>
        <w:spacing w:lineRule="auto" w:line="360" w:before="0" w:after="0"/>
        <w:ind w:left="709" w:hanging="283"/>
        <w:jc w:val="left"/>
        <w:rPr/>
      </w:pPr>
      <w:r>
        <w:rPr>
          <w:rStyle w:val="Strong"/>
          <w:rFonts w:ascii="Arial" w:hAnsi="Arial"/>
          <w:sz w:val="24"/>
          <w:szCs w:val="24"/>
        </w:rPr>
        <w:t>Group</w:t>
      </w:r>
      <w:r>
        <w:rPr>
          <w:rFonts w:ascii="Arial" w:hAnsi="Arial"/>
          <w:sz w:val="24"/>
          <w:szCs w:val="24"/>
        </w:rPr>
        <w:t xml:space="preserve">: group_id, score_range, base_fee, rotation_slots </w:t>
      </w:r>
    </w:p>
    <w:p>
      <w:pPr>
        <w:pStyle w:val="TextBody"/>
        <w:numPr>
          <w:ilvl w:val="0"/>
          <w:numId w:val="3"/>
        </w:numPr>
        <w:tabs>
          <w:tab w:val="clear" w:pos="709"/>
          <w:tab w:val="left" w:pos="1418" w:leader="none"/>
        </w:tabs>
        <w:bidi w:val="0"/>
        <w:spacing w:lineRule="auto" w:line="360" w:before="0" w:after="0"/>
        <w:ind w:left="709" w:hanging="283"/>
        <w:jc w:val="left"/>
        <w:rPr/>
      </w:pPr>
      <w:r>
        <w:rPr>
          <w:rStyle w:val="Strong"/>
          <w:rFonts w:ascii="Arial" w:hAnsi="Arial"/>
          <w:sz w:val="24"/>
          <w:szCs w:val="24"/>
        </w:rPr>
        <w:t>RotationLog</w:t>
      </w:r>
      <w:r>
        <w:rPr>
          <w:rFonts w:ascii="Arial" w:hAnsi="Arial"/>
          <w:sz w:val="24"/>
          <w:szCs w:val="24"/>
        </w:rPr>
        <w:t xml:space="preserve">: account_id, group_id, rotation_slot, timestamp </w:t>
      </w:r>
    </w:p>
    <w:p>
      <w:pPr>
        <w:pStyle w:val="TextBody"/>
        <w:numPr>
          <w:ilvl w:val="0"/>
          <w:numId w:val="3"/>
        </w:numPr>
        <w:tabs>
          <w:tab w:val="clear" w:pos="709"/>
          <w:tab w:val="left" w:pos="1418" w:leader="none"/>
        </w:tabs>
        <w:bidi w:val="0"/>
        <w:spacing w:lineRule="auto" w:line="360"/>
        <w:ind w:left="709" w:hanging="283"/>
        <w:jc w:val="left"/>
        <w:rPr/>
      </w:pPr>
      <w:r>
        <w:rPr>
          <w:rStyle w:val="Strong"/>
          <w:rFonts w:ascii="Arial" w:hAnsi="Arial"/>
          <w:sz w:val="24"/>
          <w:szCs w:val="24"/>
        </w:rPr>
        <w:t>AuditLog</w:t>
      </w:r>
      <w:r>
        <w:rPr>
          <w:rFonts w:ascii="Arial" w:hAnsi="Arial"/>
          <w:sz w:val="24"/>
          <w:szCs w:val="24"/>
        </w:rPr>
        <w:t xml:space="preserve">: event_id, computation_hash, inputs_hash, timestamp, verifier_signature </w:t>
      </w:r>
    </w:p>
    <w:p>
      <w:pPr>
        <w:pStyle w:val="HorizontalLine"/>
        <w:bidi w:val="0"/>
        <w:spacing w:lineRule="auto" w:line="360"/>
        <w:jc w:val="left"/>
        <w:rPr>
          <w:rFonts w:ascii="Arial" w:hAnsi="Arial"/>
          <w:sz w:val="24"/>
          <w:szCs w:val="24"/>
        </w:rPr>
      </w:pPr>
      <w:r>
        <w:rPr>
          <w:rFonts w:ascii="Arial" w:hAnsi="Arial"/>
          <w:sz w:val="24"/>
          <w:szCs w:val="24"/>
        </w:rPr>
      </w:r>
    </w:p>
    <w:p>
      <w:pPr>
        <w:pStyle w:val="Heading2"/>
        <w:numPr>
          <w:ilvl w:val="1"/>
          <w:numId w:val="1"/>
        </w:numPr>
        <w:bidi w:val="0"/>
        <w:spacing w:lineRule="auto" w:line="360"/>
        <w:jc w:val="left"/>
        <w:rPr>
          <w:rFonts w:ascii="Arial" w:hAnsi="Arial"/>
          <w:sz w:val="24"/>
          <w:szCs w:val="24"/>
        </w:rPr>
      </w:pPr>
      <w:r>
        <w:rPr>
          <w:rFonts w:ascii="Arial" w:hAnsi="Arial"/>
          <w:sz w:val="24"/>
          <w:szCs w:val="24"/>
        </w:rPr>
        <w:t>3 API Schema Example</w:t>
      </w:r>
    </w:p>
    <w:p>
      <w:pPr>
        <w:pStyle w:val="TextBody"/>
        <w:bidi w:val="0"/>
        <w:spacing w:lineRule="auto" w:line="360"/>
        <w:jc w:val="left"/>
        <w:rPr/>
      </w:pPr>
      <w:r>
        <w:rPr>
          <w:rStyle w:val="Strong"/>
          <w:rFonts w:ascii="Arial" w:hAnsi="Arial"/>
          <w:sz w:val="24"/>
          <w:szCs w:val="24"/>
        </w:rPr>
        <w:t>Endpoints</w:t>
      </w:r>
    </w:p>
    <w:p>
      <w:pPr>
        <w:pStyle w:val="TextBody"/>
        <w:numPr>
          <w:ilvl w:val="0"/>
          <w:numId w:val="4"/>
        </w:numPr>
        <w:tabs>
          <w:tab w:val="clear" w:pos="709"/>
          <w:tab w:val="left" w:pos="1418" w:leader="none"/>
        </w:tabs>
        <w:bidi w:val="0"/>
        <w:spacing w:lineRule="auto" w:line="360" w:before="0" w:after="0"/>
        <w:ind w:left="709" w:hanging="283"/>
        <w:jc w:val="left"/>
        <w:rPr/>
      </w:pPr>
      <w:r>
        <w:rPr>
          <w:rStyle w:val="SourceText"/>
          <w:rFonts w:ascii="Arial" w:hAnsi="Arial"/>
          <w:sz w:val="24"/>
          <w:szCs w:val="24"/>
        </w:rPr>
        <w:t>POST /score/compute</w:t>
      </w:r>
      <w:r>
        <w:rPr>
          <w:rFonts w:ascii="Arial" w:hAnsi="Arial"/>
          <w:sz w:val="24"/>
          <w:szCs w:val="24"/>
        </w:rPr>
        <w:t xml:space="preserve"> — compute score for account; returns </w:t>
      </w:r>
      <w:r>
        <w:rPr>
          <w:rStyle w:val="SourceText"/>
          <w:rFonts w:ascii="Arial" w:hAnsi="Arial"/>
          <w:sz w:val="24"/>
          <w:szCs w:val="24"/>
        </w:rPr>
        <w:t>score_value</w:t>
      </w:r>
      <w:r>
        <w:rPr>
          <w:rFonts w:ascii="Arial" w:hAnsi="Arial"/>
          <w:sz w:val="24"/>
          <w:szCs w:val="24"/>
        </w:rPr>
        <w:t xml:space="preserve">, </w:t>
      </w:r>
      <w:r>
        <w:rPr>
          <w:rStyle w:val="SourceText"/>
          <w:rFonts w:ascii="Arial" w:hAnsi="Arial"/>
          <w:sz w:val="24"/>
          <w:szCs w:val="24"/>
        </w:rPr>
        <w:t>feature_breakdown</w:t>
      </w:r>
      <w:r>
        <w:rPr>
          <w:rFonts w:ascii="Arial" w:hAnsi="Arial"/>
          <w:sz w:val="24"/>
          <w:szCs w:val="24"/>
        </w:rPr>
        <w:t xml:space="preserve">, </w:t>
      </w:r>
      <w:r>
        <w:rPr>
          <w:rStyle w:val="SourceText"/>
          <w:rFonts w:ascii="Arial" w:hAnsi="Arial"/>
          <w:sz w:val="24"/>
          <w:szCs w:val="24"/>
        </w:rPr>
        <w:t>computation_hash</w:t>
      </w:r>
      <w:r>
        <w:rPr>
          <w:rFonts w:ascii="Arial" w:hAnsi="Arial"/>
          <w:sz w:val="24"/>
          <w:szCs w:val="24"/>
        </w:rPr>
        <w:t xml:space="preserve">. </w:t>
      </w:r>
    </w:p>
    <w:p>
      <w:pPr>
        <w:pStyle w:val="TextBody"/>
        <w:numPr>
          <w:ilvl w:val="0"/>
          <w:numId w:val="4"/>
        </w:numPr>
        <w:tabs>
          <w:tab w:val="clear" w:pos="709"/>
          <w:tab w:val="left" w:pos="1418" w:leader="none"/>
        </w:tabs>
        <w:bidi w:val="0"/>
        <w:spacing w:lineRule="auto" w:line="360" w:before="0" w:after="0"/>
        <w:ind w:left="709" w:hanging="283"/>
        <w:jc w:val="left"/>
        <w:rPr/>
      </w:pPr>
      <w:r>
        <w:rPr>
          <w:rStyle w:val="SourceText"/>
          <w:rFonts w:ascii="Arial" w:hAnsi="Arial"/>
          <w:sz w:val="24"/>
          <w:szCs w:val="24"/>
        </w:rPr>
        <w:t>GET /group/{group_id}</w:t>
      </w:r>
      <w:r>
        <w:rPr>
          <w:rFonts w:ascii="Arial" w:hAnsi="Arial"/>
          <w:sz w:val="24"/>
          <w:szCs w:val="24"/>
        </w:rPr>
        <w:t xml:space="preserve"> — returns group rules, base_fee, rotation_slots. </w:t>
      </w:r>
    </w:p>
    <w:p>
      <w:pPr>
        <w:pStyle w:val="TextBody"/>
        <w:numPr>
          <w:ilvl w:val="0"/>
          <w:numId w:val="4"/>
        </w:numPr>
        <w:tabs>
          <w:tab w:val="clear" w:pos="709"/>
          <w:tab w:val="left" w:pos="1418" w:leader="none"/>
        </w:tabs>
        <w:bidi w:val="0"/>
        <w:spacing w:lineRule="auto" w:line="360" w:before="0" w:after="0"/>
        <w:ind w:left="709" w:hanging="283"/>
        <w:jc w:val="left"/>
        <w:rPr/>
      </w:pPr>
      <w:r>
        <w:rPr>
          <w:rStyle w:val="SourceText"/>
          <w:rFonts w:ascii="Arial" w:hAnsi="Arial"/>
          <w:sz w:val="24"/>
          <w:szCs w:val="24"/>
        </w:rPr>
        <w:t>POST /placement/request</w:t>
      </w:r>
      <w:r>
        <w:rPr>
          <w:rFonts w:ascii="Arial" w:hAnsi="Arial"/>
          <w:sz w:val="24"/>
          <w:szCs w:val="24"/>
        </w:rPr>
        <w:t xml:space="preserve"> — request placement; returns </w:t>
      </w:r>
      <w:r>
        <w:rPr>
          <w:rStyle w:val="SourceText"/>
          <w:rFonts w:ascii="Arial" w:hAnsi="Arial"/>
          <w:sz w:val="24"/>
          <w:szCs w:val="24"/>
        </w:rPr>
        <w:t>placement_slot</w:t>
      </w:r>
      <w:r>
        <w:rPr>
          <w:rFonts w:ascii="Arial" w:hAnsi="Arial"/>
          <w:sz w:val="24"/>
          <w:szCs w:val="24"/>
        </w:rPr>
        <w:t xml:space="preserve">, </w:t>
      </w:r>
      <w:r>
        <w:rPr>
          <w:rStyle w:val="SourceText"/>
          <w:rFonts w:ascii="Arial" w:hAnsi="Arial"/>
          <w:sz w:val="24"/>
          <w:szCs w:val="24"/>
        </w:rPr>
        <w:t>price</w:t>
      </w:r>
      <w:r>
        <w:rPr>
          <w:rFonts w:ascii="Arial" w:hAnsi="Arial"/>
          <w:sz w:val="24"/>
          <w:szCs w:val="24"/>
        </w:rPr>
        <w:t xml:space="preserve">, </w:t>
      </w:r>
      <w:r>
        <w:rPr>
          <w:rStyle w:val="SourceText"/>
          <w:rFonts w:ascii="Arial" w:hAnsi="Arial"/>
          <w:sz w:val="24"/>
          <w:szCs w:val="24"/>
        </w:rPr>
        <w:t>expected_duration</w:t>
      </w:r>
      <w:r>
        <w:rPr>
          <w:rFonts w:ascii="Arial" w:hAnsi="Arial"/>
          <w:sz w:val="24"/>
          <w:szCs w:val="24"/>
        </w:rPr>
        <w:t xml:space="preserve">. </w:t>
      </w:r>
    </w:p>
    <w:p>
      <w:pPr>
        <w:pStyle w:val="TextBody"/>
        <w:numPr>
          <w:ilvl w:val="0"/>
          <w:numId w:val="4"/>
        </w:numPr>
        <w:tabs>
          <w:tab w:val="clear" w:pos="709"/>
          <w:tab w:val="left" w:pos="1418" w:leader="none"/>
        </w:tabs>
        <w:bidi w:val="0"/>
        <w:spacing w:lineRule="auto" w:line="360"/>
        <w:ind w:left="709" w:hanging="283"/>
        <w:jc w:val="left"/>
        <w:rPr/>
      </w:pPr>
      <w:r>
        <w:rPr>
          <w:rStyle w:val="SourceText"/>
          <w:rFonts w:ascii="Arial" w:hAnsi="Arial"/>
          <w:sz w:val="24"/>
          <w:szCs w:val="24"/>
        </w:rPr>
        <w:t>GET /audit/{computation_hash}</w:t>
      </w:r>
      <w:r>
        <w:rPr>
          <w:rFonts w:ascii="Arial" w:hAnsi="Arial"/>
          <w:sz w:val="24"/>
          <w:szCs w:val="24"/>
        </w:rPr>
        <w:t xml:space="preserve"> — returns signed audit record for verification. </w:t>
      </w:r>
    </w:p>
    <w:p>
      <w:pPr>
        <w:pStyle w:val="TextBody"/>
        <w:bidi w:val="0"/>
        <w:spacing w:lineRule="auto" w:line="360"/>
        <w:jc w:val="left"/>
        <w:rPr/>
      </w:pPr>
      <w:r>
        <w:rPr>
          <w:rStyle w:val="Strong"/>
          <w:rFonts w:ascii="Arial" w:hAnsi="Arial"/>
          <w:sz w:val="24"/>
          <w:szCs w:val="24"/>
        </w:rPr>
        <w:t>Sample request</w:t>
      </w:r>
    </w:p>
    <w:p>
      <w:pPr>
        <w:pStyle w:val="PreformattedText"/>
        <w:bidi w:val="0"/>
        <w:spacing w:lineRule="auto" w:line="360"/>
        <w:jc w:val="left"/>
        <w:rPr/>
      </w:pPr>
      <w:r>
        <w:rPr>
          <w:rStyle w:val="SourceText"/>
          <w:rFonts w:ascii="Arial" w:hAnsi="Arial"/>
          <w:sz w:val="24"/>
          <w:szCs w:val="24"/>
        </w:rPr>
        <w:t>POST /score/compute</w:t>
      </w:r>
    </w:p>
    <w:p>
      <w:pPr>
        <w:pStyle w:val="PreformattedText"/>
        <w:bidi w:val="0"/>
        <w:spacing w:lineRule="auto" w:line="360"/>
        <w:jc w:val="left"/>
        <w:rPr/>
      </w:pPr>
      <w:r>
        <w:rPr>
          <w:rStyle w:val="SourceText"/>
          <w:rFonts w:ascii="Arial" w:hAnsi="Arial"/>
          <w:sz w:val="24"/>
          <w:szCs w:val="24"/>
        </w:rPr>
        <w:t>{</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"account_id": "acct_123",</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"window": "30d",</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"include_features": ["dwell_avg","traffic_trend"]</w:t>
      </w:r>
    </w:p>
    <w:p>
      <w:pPr>
        <w:pStyle w:val="PreformattedText"/>
        <w:bidi w:val="0"/>
        <w:spacing w:lineRule="auto" w:line="360" w:before="0" w:after="283"/>
        <w:jc w:val="left"/>
        <w:rPr/>
      </w:pPr>
      <w:r>
        <w:rPr>
          <w:rStyle w:val="SourceText"/>
          <w:rFonts w:ascii="Arial" w:hAnsi="Arial"/>
          <w:sz w:val="24"/>
          <w:szCs w:val="24"/>
        </w:rPr>
        <w:t>}</w:t>
      </w:r>
    </w:p>
    <w:p>
      <w:pPr>
        <w:pStyle w:val="TextBody"/>
        <w:bidi w:val="0"/>
        <w:spacing w:lineRule="auto" w:line="360"/>
        <w:jc w:val="left"/>
        <w:rPr/>
      </w:pPr>
      <w:r>
        <w:rPr>
          <w:rStyle w:val="Strong"/>
          <w:rFonts w:ascii="Arial" w:hAnsi="Arial"/>
          <w:sz w:val="24"/>
          <w:szCs w:val="24"/>
        </w:rPr>
        <w:t>Sample response</w:t>
      </w:r>
    </w:p>
    <w:p>
      <w:pPr>
        <w:pStyle w:val="PreformattedText"/>
        <w:bidi w:val="0"/>
        <w:spacing w:lineRule="auto" w:line="360"/>
        <w:jc w:val="left"/>
        <w:rPr/>
      </w:pPr>
      <w:r>
        <w:rPr>
          <w:rStyle w:val="SourceText"/>
          <w:rFonts w:ascii="Arial" w:hAnsi="Arial"/>
          <w:sz w:val="24"/>
          <w:szCs w:val="24"/>
        </w:rPr>
        <w:t>{</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"score_value": 7.9,</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"feature_breakdown": {"hit_count": 0.4, "dwell_avg": 0.3, "budget_factor": 0.2, "rotation_factor": 0.1},</w:t>
      </w:r>
    </w:p>
    <w:p>
      <w:pPr>
        <w:pStyle w:val="PreformattedText"/>
        <w:bidi w:val="0"/>
        <w:spacing w:lineRule="auto" w:line="360"/>
        <w:jc w:val="left"/>
        <w:rPr/>
      </w:pPr>
      <w:r>
        <w:rPr>
          <w:rStyle w:val="SourceText"/>
          <w:rFonts w:ascii="Arial" w:hAnsi="Arial"/>
          <w:sz w:val="24"/>
          <w:szCs w:val="24"/>
        </w:rPr>
        <w:t xml:space="preserve">  </w:t>
      </w:r>
      <w:r>
        <w:rPr>
          <w:rStyle w:val="SourceText"/>
          <w:rFonts w:ascii="Arial" w:hAnsi="Arial"/>
          <w:sz w:val="24"/>
          <w:szCs w:val="24"/>
        </w:rPr>
        <w:t>"computation_hash": "sha256:..."</w:t>
      </w:r>
    </w:p>
    <w:p>
      <w:pPr>
        <w:pStyle w:val="PreformattedText"/>
        <w:bidi w:val="0"/>
        <w:spacing w:lineRule="auto" w:line="360" w:before="0" w:after="283"/>
        <w:jc w:val="left"/>
        <w:rPr/>
      </w:pPr>
      <w:r>
        <w:rPr>
          <w:rStyle w:val="SourceText"/>
          <w:rFonts w:ascii="Arial" w:hAnsi="Arial"/>
          <w:sz w:val="24"/>
          <w:szCs w:val="24"/>
        </w:rPr>
        <w:t>}</w:t>
      </w:r>
    </w:p>
    <w:p>
      <w:pPr>
        <w:pStyle w:val="HorizontalLine"/>
        <w:bidi w:val="0"/>
        <w:spacing w:lineRule="auto" w:line="360"/>
        <w:jc w:val="left"/>
        <w:rPr>
          <w:rFonts w:ascii="Arial" w:hAnsi="Arial"/>
          <w:sz w:val="24"/>
          <w:szCs w:val="24"/>
        </w:rPr>
      </w:pPr>
      <w:r>
        <w:rPr>
          <w:rFonts w:ascii="Arial" w:hAnsi="Arial"/>
          <w:sz w:val="24"/>
          <w:szCs w:val="24"/>
        </w:rPr>
      </w:r>
    </w:p>
    <w:p>
      <w:pPr>
        <w:pStyle w:val="Heading2"/>
        <w:numPr>
          <w:ilvl w:val="1"/>
          <w:numId w:val="1"/>
        </w:numPr>
        <w:bidi w:val="0"/>
        <w:spacing w:lineRule="auto" w:line="360"/>
        <w:jc w:val="left"/>
        <w:rPr>
          <w:rFonts w:ascii="Arial" w:hAnsi="Arial"/>
          <w:sz w:val="24"/>
          <w:szCs w:val="24"/>
        </w:rPr>
      </w:pPr>
      <w:r>
        <w:rPr>
          <w:rFonts w:ascii="Arial" w:hAnsi="Arial"/>
          <w:sz w:val="24"/>
          <w:szCs w:val="24"/>
        </w:rPr>
        <w:t>4 Explicit List of Modern Derivative Technologies Covered</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Machine learning families</w:t>
      </w:r>
      <w:r>
        <w:rPr>
          <w:rFonts w:ascii="Arial" w:hAnsi="Arial"/>
          <w:sz w:val="24"/>
          <w:szCs w:val="24"/>
        </w:rPr>
        <w:t>: contextual bandits; multi</w:t>
        <w:noBreakHyphen/>
        <w:t xml:space="preserve">armed bandits; reinforcement learning; supervised deep nets; transformers; graph neural networks; causal inference.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Privacy techniques</w:t>
      </w:r>
      <w:r>
        <w:rPr>
          <w:rFonts w:ascii="Arial" w:hAnsi="Arial"/>
          <w:sz w:val="24"/>
          <w:szCs w:val="24"/>
        </w:rPr>
        <w:t>: federated learning; differential privacy; homomorphic encryption; secure multi</w:t>
        <w:noBreakHyphen/>
        <w:t xml:space="preserve">party computation.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Provenance and audit</w:t>
      </w:r>
      <w:r>
        <w:rPr>
          <w:rFonts w:ascii="Arial" w:hAnsi="Arial"/>
          <w:sz w:val="24"/>
          <w:szCs w:val="24"/>
        </w:rPr>
        <w:t>: immutable logs; blockchain anchoring; verifiable timestamping; zero</w:t>
        <w:noBreakHyphen/>
        <w:t xml:space="preserve">knowledge proofs.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Fraud and integrity</w:t>
      </w:r>
      <w:r>
        <w:rPr>
          <w:rFonts w:ascii="Arial" w:hAnsi="Arial"/>
          <w:sz w:val="24"/>
          <w:szCs w:val="24"/>
        </w:rPr>
        <w:t>: bot detection; viewability metrics; click</w:t>
        <w:noBreakHyphen/>
        <w:t xml:space="preserve">fraud mitigation; anomaly detection; attribution models.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Real</w:t>
        <w:noBreakHyphen/>
        <w:t>time systems</w:t>
      </w:r>
      <w:r>
        <w:rPr>
          <w:rFonts w:ascii="Arial" w:hAnsi="Arial"/>
          <w:sz w:val="24"/>
          <w:szCs w:val="24"/>
        </w:rPr>
        <w:t>: RTB, header bidding, streaming telemetry, low</w:t>
        <w:noBreakHyphen/>
        <w:t xml:space="preserve">latency inference.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Identity and onboarding</w:t>
      </w:r>
      <w:r>
        <w:rPr>
          <w:rFonts w:ascii="Arial" w:hAnsi="Arial"/>
          <w:sz w:val="24"/>
          <w:szCs w:val="24"/>
        </w:rPr>
        <w:t xml:space="preserve">: identity proofing, reputation systems, credit integration.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Billing and settlement</w:t>
      </w:r>
      <w:r>
        <w:rPr>
          <w:rFonts w:ascii="Arial" w:hAnsi="Arial"/>
          <w:sz w:val="24"/>
          <w:szCs w:val="24"/>
        </w:rPr>
        <w:t xml:space="preserve">: metered billing, caps, throttles, reconciliation, smart contract settlement.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APIs and integration</w:t>
      </w:r>
      <w:r>
        <w:rPr>
          <w:rFonts w:ascii="Arial" w:hAnsi="Arial"/>
          <w:sz w:val="24"/>
          <w:szCs w:val="24"/>
        </w:rPr>
        <w:t>: SDKs, REST/gRPC APIs, webhooks, publisher/ad</w:t>
        <w:noBreakHyphen/>
        <w:t xml:space="preserve">server adapters.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User controls</w:t>
      </w:r>
      <w:r>
        <w:rPr>
          <w:rFonts w:ascii="Arial" w:hAnsi="Arial"/>
          <w:sz w:val="24"/>
          <w:szCs w:val="24"/>
        </w:rPr>
        <w:t>: consent management, opt</w:t>
        <w:noBreakHyphen/>
        <w:t xml:space="preserve">out flows, explainability dashboards. </w:t>
      </w:r>
    </w:p>
    <w:p>
      <w:pPr>
        <w:pStyle w:val="TextBody"/>
        <w:numPr>
          <w:ilvl w:val="0"/>
          <w:numId w:val="5"/>
        </w:numPr>
        <w:tabs>
          <w:tab w:val="clear" w:pos="709"/>
          <w:tab w:val="left" w:pos="1418" w:leader="none"/>
        </w:tabs>
        <w:bidi w:val="0"/>
        <w:spacing w:lineRule="auto" w:line="360" w:before="0" w:after="0"/>
        <w:ind w:left="709" w:hanging="283"/>
        <w:jc w:val="left"/>
        <w:rPr/>
      </w:pPr>
      <w:r>
        <w:rPr>
          <w:rStyle w:val="Strong"/>
          <w:rFonts w:ascii="Arial" w:hAnsi="Arial"/>
          <w:sz w:val="24"/>
          <w:szCs w:val="24"/>
        </w:rPr>
        <w:t>Edge and hardware</w:t>
      </w:r>
      <w:r>
        <w:rPr>
          <w:rFonts w:ascii="Arial" w:hAnsi="Arial"/>
          <w:sz w:val="24"/>
          <w:szCs w:val="24"/>
        </w:rPr>
        <w:t>: on</w:t>
        <w:noBreakHyphen/>
        <w:t xml:space="preserve">device scoring, edge inference, sensor fusion. </w:t>
      </w:r>
    </w:p>
    <w:p>
      <w:pPr>
        <w:pStyle w:val="TextBody"/>
        <w:numPr>
          <w:ilvl w:val="0"/>
          <w:numId w:val="5"/>
        </w:numPr>
        <w:tabs>
          <w:tab w:val="clear" w:pos="709"/>
          <w:tab w:val="left" w:pos="1418" w:leader="none"/>
        </w:tabs>
        <w:bidi w:val="0"/>
        <w:spacing w:lineRule="auto" w:line="360"/>
        <w:ind w:left="709" w:hanging="283"/>
        <w:jc w:val="left"/>
        <w:rPr/>
      </w:pPr>
      <w:r>
        <w:rPr>
          <w:rStyle w:val="Strong"/>
          <w:rFonts w:ascii="Arial" w:hAnsi="Arial"/>
          <w:sz w:val="24"/>
          <w:szCs w:val="24"/>
        </w:rPr>
        <w:t>Emerging constructs</w:t>
      </w:r>
      <w:r>
        <w:rPr>
          <w:rFonts w:ascii="Arial" w:hAnsi="Arial"/>
          <w:sz w:val="24"/>
          <w:szCs w:val="24"/>
        </w:rPr>
        <w:t xml:space="preserve">: tokenized incentives, NFTs for provenance, smart contracts for rotation/exchange. </w:t>
      </w:r>
    </w:p>
    <w:p>
      <w:pPr>
        <w:pStyle w:val="TextBody"/>
        <w:bidi w:val="0"/>
        <w:spacing w:lineRule="auto" w:line="360"/>
        <w:jc w:val="left"/>
        <w:rPr>
          <w:rFonts w:ascii="Arial" w:hAnsi="Arial"/>
          <w:sz w:val="24"/>
          <w:szCs w:val="24"/>
        </w:rPr>
      </w:pPr>
      <w:r>
        <w:rPr>
          <w:rFonts w:ascii="Arial" w:hAnsi="Arial"/>
          <w:sz w:val="24"/>
          <w:szCs w:val="24"/>
        </w:rPr>
        <w:t>All items above are declared as derivatives of the Cycle Hits + Hits History principle and are documented here as prior art.</w:t>
      </w:r>
    </w:p>
    <w:p>
      <w:pPr>
        <w:pStyle w:val="HorizontalLine"/>
        <w:bidi w:val="0"/>
        <w:spacing w:lineRule="auto" w:line="360"/>
        <w:jc w:val="left"/>
        <w:rPr>
          <w:rFonts w:ascii="Arial" w:hAnsi="Arial"/>
          <w:sz w:val="24"/>
          <w:szCs w:val="24"/>
        </w:rPr>
      </w:pPr>
      <w:r>
        <w:rPr>
          <w:rFonts w:ascii="Arial" w:hAnsi="Arial"/>
          <w:sz w:val="24"/>
          <w:szCs w:val="24"/>
        </w:rPr>
      </w:r>
    </w:p>
    <w:p>
      <w:pPr>
        <w:pStyle w:val="TextBody"/>
        <w:bidi w:val="0"/>
        <w:spacing w:lineRule="auto" w:line="360"/>
        <w:jc w:val="left"/>
        <w:rPr/>
      </w:pPr>
      <w:r>
        <w:rPr>
          <w:rStyle w:val="Strong"/>
          <w:rFonts w:ascii="Arial" w:hAnsi="Arial"/>
          <w:sz w:val="24"/>
          <w:szCs w:val="24"/>
        </w:rPr>
        <w:t>Metadata</w:t>
      </w:r>
    </w:p>
    <w:p>
      <w:pPr>
        <w:pStyle w:val="TextBody"/>
        <w:numPr>
          <w:ilvl w:val="0"/>
          <w:numId w:val="6"/>
        </w:numPr>
        <w:tabs>
          <w:tab w:val="clear" w:pos="709"/>
          <w:tab w:val="left" w:pos="1418" w:leader="none"/>
        </w:tabs>
        <w:bidi w:val="0"/>
        <w:spacing w:lineRule="auto" w:line="360"/>
        <w:ind w:left="709" w:hanging="283"/>
        <w:jc w:val="left"/>
        <w:rPr>
          <w:rFonts w:ascii="Arial" w:hAnsi="Arial"/>
          <w:sz w:val="24"/>
          <w:szCs w:val="24"/>
        </w:rPr>
      </w:pPr>
      <w:r>
        <w:rPr>
          <w:rFonts w:ascii="Arial" w:hAnsi="Arial"/>
          <w:sz w:val="24"/>
          <w:szCs w:val="24"/>
        </w:rPr>
        <w:t xml:space="preserve">Title, author (Dario Chang), abstract, full claim appendix, pseudocode, data schema, README, and explicit statement: “This document is a defensive publication and prior art for the Cycle Hits and Hits History behavioral scoring principle.” </w:t>
      </w:r>
    </w:p>
    <w:p>
      <w:pPr>
        <w:pStyle w:val="Heading2"/>
        <w:numPr>
          <w:ilvl w:val="1"/>
          <w:numId w:val="1"/>
        </w:numPr>
        <w:bidi w:val="0"/>
        <w:spacing w:lineRule="auto" w:line="360"/>
        <w:jc w:val="left"/>
        <w:rPr>
          <w:rFonts w:ascii="Arial" w:hAnsi="Arial"/>
          <w:sz w:val="24"/>
          <w:szCs w:val="24"/>
        </w:rPr>
      </w:pPr>
      <w:r>
        <w:rPr>
          <w:rFonts w:ascii="Arial" w:hAnsi="Arial"/>
          <w:sz w:val="24"/>
          <w:szCs w:val="24"/>
        </w:rPr>
        <w:t>Citation</w:t>
      </w:r>
    </w:p>
    <w:p>
      <w:pPr>
        <w:pStyle w:val="TextBody"/>
        <w:bidi w:val="0"/>
        <w:spacing w:lineRule="auto" w:line="360"/>
        <w:jc w:val="left"/>
        <w:rPr>
          <w:rFonts w:ascii="Arial" w:hAnsi="Arial"/>
          <w:sz w:val="24"/>
          <w:szCs w:val="24"/>
        </w:rPr>
      </w:pPr>
      <w:r>
        <w:rPr>
          <w:rFonts w:ascii="Arial" w:hAnsi="Arial"/>
          <w:sz w:val="24"/>
          <w:szCs w:val="24"/>
        </w:rPr>
        <w:t xml:space="preserve">Dario Chang. White Box Claim Appendix — Defensive Publication for Cycle Hits and Hits History. Version 1.0. December 24, 2025. </w:t>
      </w:r>
    </w:p>
    <w:p>
      <w:pPr>
        <w:pStyle w:val="HorizontalLine"/>
        <w:bidi w:val="0"/>
        <w:spacing w:lineRule="auto" w:line="360"/>
        <w:jc w:val="left"/>
        <w:rPr>
          <w:rFonts w:ascii="Arial" w:hAnsi="Arial"/>
          <w:sz w:val="24"/>
          <w:szCs w:val="24"/>
        </w:rPr>
      </w:pPr>
      <w:r>
        <w:rPr>
          <w:rFonts w:ascii="Arial" w:hAnsi="Arial"/>
          <w:sz w:val="24"/>
          <w:szCs w:val="24"/>
        </w:rPr>
      </w:r>
    </w:p>
    <w:p>
      <w:pPr>
        <w:pStyle w:val="Heading3"/>
        <w:numPr>
          <w:ilvl w:val="2"/>
          <w:numId w:val="1"/>
        </w:numPr>
        <w:bidi w:val="0"/>
        <w:spacing w:lineRule="auto" w:line="360" w:before="140" w:after="120"/>
        <w:jc w:val="left"/>
        <w:rPr>
          <w:rStyle w:val="Strong"/>
          <w:rFonts w:ascii="Arial" w:hAnsi="Arial"/>
        </w:rPr>
      </w:pPr>
      <w:r>
        <w:rPr/>
      </w:r>
    </w:p>
    <w:sectPr>
      <w:type w:val="nextPage"/>
      <w:pgSz w:w="12240" w:h="15840"/>
      <w:pgMar w:left="1134" w:right="1134" w:gutter="0" w:header="0" w:top="1134" w:footer="0"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Liberation Mono">
    <w:altName w:val="Courier New"/>
    <w:charset w:val="00"/>
    <w:family w:val="roman"/>
    <w:pitch w:val="variable"/>
  </w:font>
  <w:font w:name="Liberation Sans">
    <w:altName w:val="Arial"/>
    <w:charset w:val="00"/>
    <w:family w:val="roman"/>
    <w:pitch w:val="variable"/>
  </w:font>
  <w:font w:name="Arial">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rPr/>
    </w:lvl>
    <w:lvl w:ilvl="1">
      <w:start w:val="1"/>
      <w:numFmt w:val="none"/>
      <w:suff w:val="nothing"/>
      <w:lvlText w:val=""/>
      <w:lvlJc w:val="left"/>
      <w:pPr>
        <w:tabs>
          <w:tab w:val="num" w:pos="0"/>
        </w:tabs>
        <w:ind w:left="0" w:hanging="0"/>
      </w:pPr>
      <w:rPr/>
    </w:lvl>
    <w:lvl w:ilvl="2">
      <w:start w:val="1"/>
      <w:numFmt w:val="none"/>
      <w:suff w:val="nothing"/>
      <w:lvlText w:val=""/>
      <w:lvlJc w:val="left"/>
      <w:pPr>
        <w:tabs>
          <w:tab w:val="num" w:pos="0"/>
        </w:tabs>
        <w:ind w:left="0" w:hanging="0"/>
      </w:pPr>
      <w:rPr/>
    </w:lvl>
    <w:lvl w:ilvl="3">
      <w:start w:val="1"/>
      <w:numFmt w:val="none"/>
      <w:suff w:val="nothing"/>
      <w:lvlText w:val=""/>
      <w:lvlJc w:val="left"/>
      <w:pPr>
        <w:tabs>
          <w:tab w:val="num" w:pos="0"/>
        </w:tabs>
        <w:ind w:left="0" w:hanging="0"/>
      </w:pPr>
      <w:rPr/>
    </w:lvl>
    <w:lvl w:ilvl="4">
      <w:start w:val="1"/>
      <w:numFmt w:val="none"/>
      <w:suff w:val="nothing"/>
      <w:lvlText w:val=""/>
      <w:lvlJc w:val="left"/>
      <w:pPr>
        <w:tabs>
          <w:tab w:val="num" w:pos="0"/>
        </w:tabs>
        <w:ind w:left="0" w:hanging="0"/>
      </w:pPr>
      <w:rPr/>
    </w:lvl>
    <w:lvl w:ilvl="5">
      <w:start w:val="1"/>
      <w:numFmt w:val="none"/>
      <w:suff w:val="nothing"/>
      <w:lvlText w:val=""/>
      <w:lvlJc w:val="left"/>
      <w:pPr>
        <w:tabs>
          <w:tab w:val="num" w:pos="0"/>
        </w:tabs>
        <w:ind w:left="0" w:hanging="0"/>
      </w:pPr>
      <w:rPr/>
    </w:lvl>
    <w:lvl w:ilvl="6">
      <w:start w:val="1"/>
      <w:numFmt w:val="none"/>
      <w:suff w:val="nothing"/>
      <w:lvlText w:val=""/>
      <w:lvlJc w:val="left"/>
      <w:pPr>
        <w:tabs>
          <w:tab w:val="num" w:pos="0"/>
        </w:tabs>
        <w:ind w:left="0" w:hanging="0"/>
      </w:pPr>
      <w:rPr/>
    </w:lvl>
    <w:lvl w:ilvl="7">
      <w:start w:val="1"/>
      <w:numFmt w:val="none"/>
      <w:suff w:val="nothing"/>
      <w:lvlText w:val=""/>
      <w:lvlJc w:val="left"/>
      <w:pPr>
        <w:tabs>
          <w:tab w:val="num" w:pos="0"/>
        </w:tabs>
        <w:ind w:left="0" w:hanging="0"/>
      </w:pPr>
      <w:rPr/>
    </w:lvl>
    <w:lvl w:ilvl="8">
      <w:start w:val="1"/>
      <w:numFmt w:val="none"/>
      <w:suff w:val="nothing"/>
      <w:lvlText w:val=""/>
      <w:lvlJc w:val="left"/>
      <w:pPr>
        <w:tabs>
          <w:tab w:val="num" w:pos="0"/>
        </w:tabs>
        <w:ind w:left="0" w:hanging="0"/>
      </w:pPr>
      <w:rPr/>
    </w:lvl>
  </w:abstractNum>
  <w:abstractNum w:abstractNumId="2">
    <w:lvl w:ilvl="0">
      <w:start w:val="1"/>
      <w:numFmt w:val="decimal"/>
      <w:lvlText w:val="%1."/>
      <w:lvlJc w:val="left"/>
      <w:pPr>
        <w:tabs>
          <w:tab w:val="num" w:pos="709"/>
        </w:tabs>
        <w:ind w:left="709" w:hanging="283"/>
      </w:pPr>
      <w:rPr/>
    </w:lvl>
    <w:lvl w:ilvl="1">
      <w:start w:val="1"/>
      <w:numFmt w:val="decimal"/>
      <w:lvlText w:val="%2."/>
      <w:lvlJc w:val="left"/>
      <w:pPr>
        <w:tabs>
          <w:tab w:val="num" w:pos="1418"/>
        </w:tabs>
        <w:ind w:left="1418" w:hanging="283"/>
      </w:pPr>
      <w:rPr/>
    </w:lvl>
    <w:lvl w:ilvl="2">
      <w:start w:val="1"/>
      <w:numFmt w:val="decimal"/>
      <w:lvlText w:val="%3."/>
      <w:lvlJc w:val="left"/>
      <w:pPr>
        <w:tabs>
          <w:tab w:val="num" w:pos="2127"/>
        </w:tabs>
        <w:ind w:left="2127" w:hanging="283"/>
      </w:pPr>
      <w:rPr/>
    </w:lvl>
    <w:lvl w:ilvl="3">
      <w:start w:val="1"/>
      <w:numFmt w:val="decimal"/>
      <w:lvlText w:val="%4."/>
      <w:lvlJc w:val="left"/>
      <w:pPr>
        <w:tabs>
          <w:tab w:val="num" w:pos="2836"/>
        </w:tabs>
        <w:ind w:left="2836" w:hanging="283"/>
      </w:pPr>
      <w:rPr/>
    </w:lvl>
    <w:lvl w:ilvl="4">
      <w:start w:val="1"/>
      <w:numFmt w:val="decimal"/>
      <w:lvlText w:val="%5."/>
      <w:lvlJc w:val="left"/>
      <w:pPr>
        <w:tabs>
          <w:tab w:val="num" w:pos="3545"/>
        </w:tabs>
        <w:ind w:left="3545" w:hanging="283"/>
      </w:pPr>
      <w:rPr/>
    </w:lvl>
    <w:lvl w:ilvl="5">
      <w:start w:val="1"/>
      <w:numFmt w:val="decimal"/>
      <w:lvlText w:val="%6."/>
      <w:lvlJc w:val="left"/>
      <w:pPr>
        <w:tabs>
          <w:tab w:val="num" w:pos="4254"/>
        </w:tabs>
        <w:ind w:left="4254" w:hanging="283"/>
      </w:pPr>
      <w:rPr/>
    </w:lvl>
    <w:lvl w:ilvl="6">
      <w:start w:val="1"/>
      <w:numFmt w:val="decimal"/>
      <w:lvlText w:val="%7."/>
      <w:lvlJc w:val="left"/>
      <w:pPr>
        <w:tabs>
          <w:tab w:val="num" w:pos="4963"/>
        </w:tabs>
        <w:ind w:left="4963" w:hanging="283"/>
      </w:pPr>
      <w:rPr/>
    </w:lvl>
    <w:lvl w:ilvl="7">
      <w:start w:val="1"/>
      <w:numFmt w:val="decimal"/>
      <w:lvlText w:val="%8."/>
      <w:lvlJc w:val="left"/>
      <w:pPr>
        <w:tabs>
          <w:tab w:val="num" w:pos="5672"/>
        </w:tabs>
        <w:ind w:left="5672" w:hanging="283"/>
      </w:pPr>
      <w:rPr/>
    </w:lvl>
    <w:lvl w:ilvl="8">
      <w:start w:val="1"/>
      <w:numFmt w:val="decimal"/>
      <w:lvlText w:val="%9."/>
      <w:lvlJc w:val="left"/>
      <w:pPr>
        <w:tabs>
          <w:tab w:val="num" w:pos="6381"/>
        </w:tabs>
        <w:ind w:left="6381" w:hanging="283"/>
      </w:pPr>
      <w:rPr/>
    </w:lvl>
  </w:abstractNum>
  <w:abstractNum w:abstractNumId="3">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4">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5">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6">
    <w:lvl w:ilvl="0">
      <w:start w:val="1"/>
      <w:numFmt w:val="bullet"/>
      <w:lvlText w:val=""/>
      <w:lvlJc w:val="left"/>
      <w:pPr>
        <w:tabs>
          <w:tab w:val="num" w:pos="709"/>
        </w:tabs>
        <w:ind w:left="709" w:hanging="283"/>
      </w:pPr>
      <w:rPr>
        <w:rFonts w:ascii="Symbol" w:hAnsi="Symbol" w:cs="Symbol" w:hint="default"/>
      </w:rPr>
    </w:lvl>
    <w:lvl w:ilvl="1">
      <w:start w:val="1"/>
      <w:numFmt w:val="bullet"/>
      <w:lvlText w:val=""/>
      <w:lvlJc w:val="left"/>
      <w:pPr>
        <w:tabs>
          <w:tab w:val="num" w:pos="1418"/>
        </w:tabs>
        <w:ind w:left="1418" w:hanging="283"/>
      </w:pPr>
      <w:rPr>
        <w:rFonts w:ascii="Symbol" w:hAnsi="Symbol" w:cs="Symbol" w:hint="default"/>
      </w:rPr>
    </w:lvl>
    <w:lvl w:ilvl="2">
      <w:start w:val="1"/>
      <w:numFmt w:val="bullet"/>
      <w:lvlText w:val=""/>
      <w:lvlJc w:val="left"/>
      <w:pPr>
        <w:tabs>
          <w:tab w:val="num" w:pos="2127"/>
        </w:tabs>
        <w:ind w:left="2127" w:hanging="283"/>
      </w:pPr>
      <w:rPr>
        <w:rFonts w:ascii="Symbol" w:hAnsi="Symbol" w:cs="Symbol" w:hint="default"/>
      </w:rPr>
    </w:lvl>
    <w:lvl w:ilvl="3">
      <w:start w:val="1"/>
      <w:numFmt w:val="bullet"/>
      <w:lvlText w:val=""/>
      <w:lvlJc w:val="left"/>
      <w:pPr>
        <w:tabs>
          <w:tab w:val="num" w:pos="2836"/>
        </w:tabs>
        <w:ind w:left="2836" w:hanging="283"/>
      </w:pPr>
      <w:rPr>
        <w:rFonts w:ascii="Symbol" w:hAnsi="Symbol" w:cs="Symbol" w:hint="default"/>
      </w:rPr>
    </w:lvl>
    <w:lvl w:ilvl="4">
      <w:start w:val="1"/>
      <w:numFmt w:val="bullet"/>
      <w:lvlText w:val=""/>
      <w:lvlJc w:val="left"/>
      <w:pPr>
        <w:tabs>
          <w:tab w:val="num" w:pos="3545"/>
        </w:tabs>
        <w:ind w:left="3545" w:hanging="283"/>
      </w:pPr>
      <w:rPr>
        <w:rFonts w:ascii="Symbol" w:hAnsi="Symbol" w:cs="Symbol" w:hint="default"/>
      </w:rPr>
    </w:lvl>
    <w:lvl w:ilvl="5">
      <w:start w:val="1"/>
      <w:numFmt w:val="bullet"/>
      <w:lvlText w:val=""/>
      <w:lvlJc w:val="left"/>
      <w:pPr>
        <w:tabs>
          <w:tab w:val="num" w:pos="4254"/>
        </w:tabs>
        <w:ind w:left="4254" w:hanging="283"/>
      </w:pPr>
      <w:rPr>
        <w:rFonts w:ascii="Symbol" w:hAnsi="Symbol" w:cs="Symbol" w:hint="default"/>
      </w:rPr>
    </w:lvl>
    <w:lvl w:ilvl="6">
      <w:start w:val="1"/>
      <w:numFmt w:val="bullet"/>
      <w:lvlText w:val=""/>
      <w:lvlJc w:val="left"/>
      <w:pPr>
        <w:tabs>
          <w:tab w:val="num" w:pos="4963"/>
        </w:tabs>
        <w:ind w:left="4963" w:hanging="283"/>
      </w:pPr>
      <w:rPr>
        <w:rFonts w:ascii="Symbol" w:hAnsi="Symbol" w:cs="Symbol" w:hint="default"/>
      </w:rPr>
    </w:lvl>
    <w:lvl w:ilvl="7">
      <w:start w:val="1"/>
      <w:numFmt w:val="bullet"/>
      <w:lvlText w:val=""/>
      <w:lvlJc w:val="left"/>
      <w:pPr>
        <w:tabs>
          <w:tab w:val="num" w:pos="5672"/>
        </w:tabs>
        <w:ind w:left="5672" w:hanging="283"/>
      </w:pPr>
      <w:rPr>
        <w:rFonts w:ascii="Symbol" w:hAnsi="Symbol" w:cs="Symbol" w:hint="default"/>
      </w:rPr>
    </w:lvl>
    <w:lvl w:ilvl="8">
      <w:start w:val="1"/>
      <w:numFmt w:val="bullet"/>
      <w:lvlText w:val=""/>
      <w:lvlJc w:val="left"/>
      <w:pPr>
        <w:tabs>
          <w:tab w:val="num" w:pos="6381"/>
        </w:tabs>
        <w:ind w:left="6381" w:hanging="283"/>
      </w:pPr>
      <w:rPr>
        <w:rFonts w:ascii="Symbol" w:hAnsi="Symbol" w:cs="Symbol"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NSimSun" w:cs="Arial"/>
      <w:color w:val="auto"/>
      <w:kern w:val="2"/>
      <w:sz w:val="24"/>
      <w:szCs w:val="24"/>
      <w:lang w:val="en-US" w:eastAsia="zh-CN" w:bidi="hi-IN"/>
    </w:rPr>
  </w:style>
  <w:style w:type="paragraph" w:styleId="Heading2">
    <w:name w:val="Heading 2"/>
    <w:basedOn w:val="Heading"/>
    <w:next w:val="TextBody"/>
    <w:qFormat/>
    <w:pPr>
      <w:numPr>
        <w:ilvl w:val="1"/>
        <w:numId w:val="1"/>
      </w:numPr>
      <w:spacing w:before="200" w:after="120"/>
      <w:outlineLvl w:val="1"/>
    </w:pPr>
    <w:rPr>
      <w:rFonts w:ascii="Liberation Serif" w:hAnsi="Liberation Serif" w:eastAsia="NSimSun" w:cs="Arial"/>
      <w:b/>
      <w:bCs/>
      <w:sz w:val="36"/>
      <w:szCs w:val="36"/>
    </w:rPr>
  </w:style>
  <w:style w:type="paragraph" w:styleId="Heading3">
    <w:name w:val="Heading 3"/>
    <w:basedOn w:val="Heading"/>
    <w:next w:val="TextBody"/>
    <w:qFormat/>
    <w:pPr>
      <w:numPr>
        <w:ilvl w:val="2"/>
        <w:numId w:val="1"/>
      </w:numPr>
      <w:spacing w:before="140" w:after="120"/>
      <w:outlineLvl w:val="2"/>
    </w:pPr>
    <w:rPr>
      <w:rFonts w:ascii="Liberation Serif" w:hAnsi="Liberation Serif" w:eastAsia="NSimSun" w:cs="Arial"/>
      <w:b/>
      <w:bCs/>
      <w:sz w:val="28"/>
      <w:szCs w:val="28"/>
    </w:rPr>
  </w:style>
  <w:style w:type="character" w:styleId="Strong">
    <w:name w:val="Strong"/>
    <w:qFormat/>
    <w:rPr>
      <w:b/>
      <w:bCs/>
    </w:rPr>
  </w:style>
  <w:style w:type="character" w:styleId="SourceText">
    <w:name w:val="Source Text"/>
    <w:qFormat/>
    <w:rPr>
      <w:rFonts w:ascii="Liberation Mono" w:hAnsi="Liberation Mono" w:eastAsia="NSimSun" w:cs="Liberation Mono"/>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lang w:val="zxx" w:eastAsia="zxx" w:bidi="zxx"/>
    </w:rPr>
  </w:style>
  <w:style w:type="paragraph" w:styleId="Quotations">
    <w:name w:val="Quotations"/>
    <w:basedOn w:val="Normal"/>
    <w:qFormat/>
    <w:pPr>
      <w:spacing w:before="0" w:after="283"/>
      <w:ind w:left="567" w:right="567" w:hanging="0"/>
    </w:pPr>
    <w:rPr/>
  </w:style>
  <w:style w:type="paragraph" w:styleId="HorizontalLine">
    <w:name w:val="Horizontal Line"/>
    <w:basedOn w:val="Normal"/>
    <w:next w:val="TextBody"/>
    <w:qFormat/>
    <w:pPr>
      <w:suppressLineNumbers/>
      <w:pBdr>
        <w:bottom w:val="double" w:sz="2" w:space="0" w:color="808080"/>
      </w:pBdr>
      <w:spacing w:before="0" w:after="283"/>
    </w:pPr>
    <w:rPr>
      <w:sz w:val="12"/>
      <w:szCs w:val="12"/>
    </w:rPr>
  </w:style>
  <w:style w:type="paragraph" w:styleId="PreformattedText">
    <w:name w:val="Preformatted Text"/>
    <w:basedOn w:val="Normal"/>
    <w:qFormat/>
    <w:pPr>
      <w:spacing w:before="0" w:after="0"/>
    </w:pPr>
    <w:rPr>
      <w:rFonts w:ascii="Liberation Mono" w:hAnsi="Liberation Mono" w:eastAsia="NSimSun" w:cs="Liberation Mono"/>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17</TotalTime>
  <Application>Real_Office/7.4.0.3$Windows_X86_64 LibreOffice_project/</Application>
  <AppVersion>15.0000</AppVersion>
  <Pages>7</Pages>
  <Words>1299</Words>
  <Characters>9063</Characters>
  <CharactersWithSpaces>10400</CharactersWithSpaces>
  <Paragraphs>101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2025-12-24T15:07:06Z</dcterms:created>
  <dc:creator/>
  <dc:description/>
  <dc:language>en-US</dc:language>
  <cp:lastModifiedBy/>
  <dcterms:modified xsi:type="dcterms:W3CDTF">2025-12-24T17:02:14Z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